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ZK1 2022 16 vom 15. Juni 2022</w:t>
      </w:r>
    </w:p>
    <w:p>
      <w:r>
        <w:t>SZ Gerichte, 2022-06-15, DE</w:t>
      </w:r>
    </w:p>
    <w:p>
      <w:r>
        <w:rPr>
          <w:b/>
        </w:rPr>
        <w:t xml:space="preserve">Quelle: </w:t>
      </w:r>
      <w:r>
        <w:t>https://mcp.opencaselaw.ch/entscheid/sz_gerichte_ZK1 2022 16</w:t>
      </w:r>
    </w:p>
    <w:p>
      <w:r>
        <w:t>FR: SZ_GERICHTE ZK1 2022 16 du 15 juin 2022</w:t>
      </w:r>
    </w:p>
    <w:p>
      <w:r>
        <w:t>IT: SZ_GERICHTE ZK1 2022 16 del 15 giugno 2022</w:t>
      </w:r>
    </w:p>
    <w:p>
      <w:pPr>
        <w:pStyle w:val="Heading2"/>
      </w:pPr>
      <w:r>
        <w:t>Regeste</w:t>
      </w:r>
    </w:p>
    <w:p>
      <w:r>
        <w:t>Firmenrecht | Diverses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Beklagte sei zu verpflichten, die weitere Führung der Firma „D.________ AG“ spätestens nach Ablauf von 30 Tagen ab unbe- nutztem Ablauf der Rechtsmittelfrist bzw. Nichtgewährung der auf- schiebenden Wirkung nach erfolgter Beschwerde oder (eventuali- ter) einer vom Gericht festzusetzenden, angemessenen Frist zu unterlassen und innert gleicher Frist durch das Handelsregisteramt des Kantons Schwyz löschen zu lassen.</w:t>
      </w:r>
    </w:p>
    <w:p>
      <w:r>
        <w:rPr>
          <w:b/>
        </w:rPr>
        <w:t>E. 2</w:t>
      </w:r>
    </w:p>
    <w:p>
      <w:r>
        <w:t>Der Beklagten sei zu verbieten, die Firma „D.________ AG“ nach Ablauf von 30 Tagen ab unbenutztem Ablauf der Rechtsmittelfrist bzw. Nichtgewährung der aufschiebenden Wirkung nach erfolgter Beschwerde oder (eventualiter) einer vom Gericht festzusetzen- den, angemessenen Frist zur Bezeichnung ihrer Dienstleistungen, in der Werbung oder sonst wie im Geschäftsverkehr zu gebrau- chen.</w:t>
      </w:r>
    </w:p>
    <w:p>
      <w:r>
        <w:rPr>
          <w:b/>
        </w:rPr>
        <w:t>E. 3</w:t>
      </w:r>
    </w:p>
    <w:p>
      <w:r>
        <w:t>Das Gebot und das Verbot gemäss vorstehenden Ziffern 1 und 2 seien mit der Androhung der Bestrafung der verantwortlichen Or- gane der Beklagten im Falle der Zuwiderhandlung nach Art. 292 StGB zu verbinden und der Beklagten sei nach Art. 343 Abs. 1 lit. c ZPO eine Ordnungsbusse in der Höhe von bis zu CHF 1'000.00 für jeden Tag der Nichterfüllung der in vorstehenden Ziffern 1 und 2 beantragten Verpflichtungen anzudrohen.</w:t>
      </w:r>
    </w:p>
    <w:p>
      <w:r>
        <w:rPr>
          <w:b/>
        </w:rPr>
        <w:t>E. 4</w:t>
      </w:r>
    </w:p>
    <w:p>
      <w:r>
        <w:t>August 2014 E. 2.3, 2.5 und 2.6). Folglich sind die Verfahrenskosten von Fr. 800.00 in Anwendung von Art. 107 Abs. 1 lit. e ZPO der Beklagten aufzu- erlegen. Sie ist ausserdem zu verpflichten, der Klägerin eine Parteientschädi- gung zu leisten. Bei einem Streitwert von Fr. 20'001 bis Fr. 50'000.00 beträgt das Grundhonorar Fr. 1’650.00 bis Fr. 6’600.00 (§ 8 Abs. 2 GebTRA). Inner- halb dieses Tarifrahmens bestimmt sich die Höhe des Honorars nach der Wichtigkeit der Streitsache, ihrer Schwierigkeit, dem Umfang und der Art der Arbeitsleistung sowie dem notwendigen Zeitaufwand (§ 2 GebTRA). Wird ein Verfahren durch Vergleich, Rückzug oder Anerkennung erledigt, oder fällt das Anwaltsmandat aus einem anderen Grund dahin, so ist nach § 4 Abs. 1 Geb- TRA die Vergütung unter Berücksichtigung des Verfahrensstands, bisherigen Arbeitsaufwandes sowie Streitwerts festzulegen. Eine Partei kann eine spezi- fizierte Kostennote über ihre Tätigkeit und ihre Auslagen einreichen. Erscheint sie angemessen, ist sie der Festsetzung der Vergütung zugrunde zu legen. Andernfalls wird die Vergütung nach pflichtgemässem Ermessen festgesetzt (§ 6 Abs. 1 GebTRA). Die Klägerin reichte eine Honorarnote über Fr. 5'857.15 (Fr. 6'600.00 [gemäss § 8 Abs. 2 GebTRA] ./. 20 % [Reduktion aufgrund feh- lender Verhandlung] + 3 % [Auslagen] + 7.7 % MWST) ein (KG-act. 6/1). Die einzelnen Aufwendungen lassen sich der Kostennote indes nicht entnehmen. Die Klägerin geht pauschal vom Maximalbetrag des Tarifrahmens (abzüglich 20 %) aus. Die Beklagte setzte die Obergrenze demgegenüber auf Fr. 2'000.00 fest (KG-act. 10). Die Aufwendungen des klägerischen Rechts- vertreters beschränkten sich im Wesentlichen auf die Ausfertigung der vier- zehnseitigen Klageschrift (KG-act. 1) sowie der kurzen Stellungnahmen vom</w:t>
      </w:r>
    </w:p>
    <w:p>
      <w:r>
        <w:rPr>
          <w:b/>
        </w:rPr>
        <w:t>E. 9</w:t>
      </w:r>
    </w:p>
    <w:p>
      <w:r>
        <w:t>und 24. Mai 2022 (KG-act. 6 und 13). Weder waren die Eingaben umfang-</w:t>
      </w:r>
    </w:p>
    <w:p>
      <w:r>
        <w:t>Kantonsgericht Schwyz 9 reich noch bedurften sie tiefgreifender juristischer Abklärungen. Daher recht- fertigt es sich, den angesichts des Streitwerts von Fr. 50'000.00 im Tarifrah- men vorgesehenen Maximalbetrag um gut einen Drittel herabzusetzen, so dass eine Entschädigung von Fr. 4'000.00 (inkl. Auslagen und MWST) ange- messen ist. 5. Über die Abschreibung des Verfahrens kann gemäss § 40 Abs. 2 JG präsidial entschieden werden;-</w:t>
      </w:r>
    </w:p>
    <w:p>
      <w:r>
        <w:t>Kantonsgericht Schwyz 10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